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440" w:lineRule="exact"/>
        <w:jc w:val="both"/>
        <w:textAlignment w:val="auto"/>
        <w:rPr>
          <w:rFonts w:hint="eastAsia" w:ascii="Times New Roman" w:hAnsi="Times New Roman" w:eastAsia="仿宋_GB2312"/>
          <w:color w:val="000000"/>
          <w:kern w:val="0"/>
          <w:sz w:val="32"/>
          <w:szCs w:val="32"/>
          <w:lang w:val="en-US" w:eastAsia="zh-CN"/>
        </w:rPr>
      </w:pPr>
      <w:r>
        <w:rPr>
          <w:rFonts w:hint="eastAsia" w:ascii="Times New Roman" w:hAnsi="Times New Roman" w:eastAsia="仿宋_GB2312"/>
          <w:color w:val="000000"/>
          <w:kern w:val="0"/>
          <w:sz w:val="32"/>
          <w:szCs w:val="32"/>
          <w:lang w:val="en-US" w:eastAsia="zh-CN"/>
        </w:rPr>
        <w:t>附件1</w:t>
      </w:r>
    </w:p>
    <w:p>
      <w:pPr>
        <w:keepNext w:val="0"/>
        <w:keepLines w:val="0"/>
        <w:pageBreakBefore w:val="0"/>
        <w:widowControl w:val="0"/>
        <w:kinsoku/>
        <w:wordWrap/>
        <w:overflowPunct/>
        <w:topLinePunct w:val="0"/>
        <w:autoSpaceDE/>
        <w:autoSpaceDN/>
        <w:bidi w:val="0"/>
        <w:adjustRightInd w:val="0"/>
        <w:snapToGrid w:val="0"/>
        <w:spacing w:line="440" w:lineRule="exact"/>
        <w:jc w:val="both"/>
        <w:textAlignment w:val="auto"/>
        <w:rPr>
          <w:rFonts w:hint="eastAsia" w:ascii="Times New Roman" w:hAnsi="Times New Roman" w:eastAsia="仿宋_GB2312"/>
          <w:color w:val="000000"/>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华文中宋" w:hAnsi="华文中宋" w:eastAsia="华文中宋"/>
          <w:b/>
          <w:bCs/>
          <w:color w:val="000000"/>
          <w:sz w:val="36"/>
          <w:szCs w:val="36"/>
          <w:lang w:val="en-US" w:eastAsia="zh-CN"/>
        </w:rPr>
      </w:pPr>
      <w:r>
        <w:rPr>
          <w:rFonts w:hint="default" w:ascii="Times New Roman" w:hAnsi="Times New Roman" w:eastAsia="华文中宋" w:cs="Times New Roman"/>
          <w:b/>
          <w:bCs/>
          <w:color w:val="000000"/>
          <w:sz w:val="36"/>
          <w:szCs w:val="36"/>
          <w:lang w:val="en-US" w:eastAsia="zh-CN"/>
        </w:rPr>
        <w:t>202</w:t>
      </w:r>
      <w:r>
        <w:rPr>
          <w:rFonts w:hint="eastAsia" w:ascii="Times New Roman" w:hAnsi="Times New Roman" w:eastAsia="华文中宋" w:cs="Times New Roman"/>
          <w:b/>
          <w:bCs/>
          <w:color w:val="000000"/>
          <w:sz w:val="36"/>
          <w:szCs w:val="36"/>
          <w:lang w:val="en-US" w:eastAsia="zh-CN"/>
        </w:rPr>
        <w:t>5</w:t>
      </w:r>
      <w:r>
        <w:rPr>
          <w:rFonts w:hint="default" w:ascii="Times New Roman" w:hAnsi="Times New Roman" w:eastAsia="华文中宋" w:cs="Times New Roman"/>
          <w:b/>
          <w:bCs/>
          <w:color w:val="000000"/>
          <w:sz w:val="36"/>
          <w:szCs w:val="36"/>
          <w:lang w:val="en-US" w:eastAsia="zh-CN"/>
        </w:rPr>
        <w:t>年</w:t>
      </w:r>
      <w:r>
        <w:rPr>
          <w:rFonts w:hint="default" w:ascii="华文中宋" w:hAnsi="华文中宋" w:eastAsia="华文中宋"/>
          <w:b/>
          <w:bCs/>
          <w:color w:val="000000"/>
          <w:sz w:val="36"/>
          <w:szCs w:val="36"/>
          <w:lang w:val="en-US" w:eastAsia="zh-CN"/>
        </w:rPr>
        <w:t>度中国农业科学院青年科技创新奖</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华文中宋" w:hAnsi="华文中宋" w:eastAsia="华文中宋"/>
          <w:b/>
          <w:bCs/>
          <w:color w:val="000000"/>
          <w:sz w:val="36"/>
          <w:szCs w:val="36"/>
          <w:lang w:val="en-US" w:eastAsia="zh-CN"/>
        </w:rPr>
      </w:pPr>
      <w:r>
        <w:rPr>
          <w:rFonts w:hint="default" w:ascii="华文中宋" w:hAnsi="华文中宋" w:eastAsia="华文中宋"/>
          <w:b/>
          <w:bCs/>
          <w:color w:val="000000"/>
          <w:sz w:val="36"/>
          <w:szCs w:val="36"/>
          <w:lang w:val="en-US" w:eastAsia="zh-CN"/>
        </w:rPr>
        <w:t>推荐项目公示信息</w:t>
      </w: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eastAsia" w:ascii="仿宋_GB2312" w:hAnsi="仿宋_GB2312" w:eastAsia="仿宋_GB2312" w:cs="仿宋_GB2312"/>
          <w:b/>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一、项目名称</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水稻叠盘出苗精准育插秧装备及丰产技术创新与应用</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二、主要完成人</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王亚梁、朱德峰、张玉屏、万克江、怀燕、张义凯、陈佳峰、杨志远、曾研华、周建霞、吴辰晨、谌江华、胡国辉</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default"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三、主要完成单位</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中国水稻研究所、杭州赛得林智能装备有限公司、浙江省农业技术推广中心、全国农业技术推广服务中心、杭州锦海农业发展有限公司、台州隆基塑业有限公司</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四、项目简介</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default" w:ascii="Times New Roman" w:hAnsi="Times New Roman" w:eastAsia="仿宋_GB2312" w:cs="Times New Roman"/>
          <w:b w:val="0"/>
          <w:bCs w:val="0"/>
          <w:color w:val="000000"/>
          <w:sz w:val="28"/>
          <w:szCs w:val="28"/>
          <w:lang w:val="en-US" w:eastAsia="zh-CN"/>
        </w:rPr>
      </w:pPr>
      <w:r>
        <w:rPr>
          <w:rFonts w:hint="default" w:ascii="Times New Roman" w:hAnsi="Times New Roman" w:eastAsia="仿宋_GB2312" w:cs="Times New Roman"/>
          <w:b w:val="0"/>
          <w:bCs w:val="0"/>
          <w:color w:val="000000"/>
          <w:sz w:val="28"/>
          <w:szCs w:val="28"/>
          <w:lang w:val="en-US" w:eastAsia="zh-CN"/>
        </w:rPr>
        <w:t xml:space="preserve">机插是水稻机械化种植的发展方向。机插的关键是育秧，育秧的核心是出苗。在本项目之前，传统机插育秧采用泥浆和旱地土育秧，且播种后秧盘直接摆放至育秧场地，这种模式下出苗育秧期间温湿气及养分不能满足出苗及秧苗生长要求，导致成苗率低、秧苗素质差。杂交稻占我国水稻种植面积1/2以上，其增产优势的发挥要求“稀播少本”种植，但我国传统机插技术沿用日本引进的秧盘撒播育秧方式，秧盘播种量高，定量机插效果差，难以满足杂交稻稀播少本育秧插秧的技术要求，不仅导致杂交稻机插产量偏低还增加了用种成本，成为限制杂交稻发展的瓶颈。鉴于此，中国水稻研究所联合相关单位，研发出水稻叠盘出苗、精准定量机插技术及相关配套装备，目前已在我国主要稻区大面积应用。成果主要创新点包括以下4个方面： </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default" w:ascii="Times New Roman" w:hAnsi="Times New Roman" w:eastAsia="仿宋_GB2312" w:cs="Times New Roman"/>
          <w:b w:val="0"/>
          <w:bCs w:val="0"/>
          <w:color w:val="000000"/>
          <w:sz w:val="28"/>
          <w:szCs w:val="28"/>
          <w:lang w:val="en-US" w:eastAsia="zh-CN"/>
        </w:rPr>
      </w:pPr>
      <w:r>
        <w:rPr>
          <w:rFonts w:hint="default" w:ascii="Times New Roman" w:hAnsi="Times New Roman" w:eastAsia="仿宋_GB2312" w:cs="Times New Roman"/>
          <w:b w:val="0"/>
          <w:bCs w:val="0"/>
          <w:color w:val="000000"/>
          <w:sz w:val="28"/>
          <w:szCs w:val="28"/>
          <w:lang w:val="en-US" w:eastAsia="zh-CN"/>
        </w:rPr>
        <w:t xml:space="preserve">1.创新水稻叠盘出苗育秧技术，构建“1个出苗中心+N个育秧场地”的育供秧模式。该技术使秧盘成秧率提高了10-20%，育供秧效率较传统育秧提高7-15倍。发明水稻精准定量播种机械育插秧方法，有效实现杂交稻稀播少本均匀机插，机插秧苗每穴2~3苗比例达80%以上，机插漏秧率降至3%以下，杂交稻亩用种量降低25-35%。水稻叠盘出苗育秧技术于2018年入选中国农业科学院十大科技进展，2019至2025年持续遴选为农业农村部主推技术。 </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default" w:ascii="Times New Roman" w:hAnsi="Times New Roman" w:eastAsia="仿宋_GB2312" w:cs="Times New Roman"/>
          <w:b w:val="0"/>
          <w:bCs w:val="0"/>
          <w:color w:val="000000"/>
          <w:sz w:val="28"/>
          <w:szCs w:val="28"/>
          <w:lang w:val="en-US" w:eastAsia="zh-CN"/>
        </w:rPr>
      </w:pPr>
      <w:r>
        <w:rPr>
          <w:rFonts w:hint="default" w:ascii="Times New Roman" w:hAnsi="Times New Roman" w:eastAsia="仿宋_GB2312" w:cs="Times New Roman"/>
          <w:b w:val="0"/>
          <w:bCs w:val="0"/>
          <w:color w:val="000000"/>
          <w:sz w:val="28"/>
          <w:szCs w:val="28"/>
          <w:lang w:val="en-US" w:eastAsia="zh-CN"/>
        </w:rPr>
        <w:t xml:space="preserve">2.研发水稻机插播种流水线开槽装置和精量播种器，创制机插秧盘精准条播流水线。研发秧盘自动供盘装置，自动叠盘机构、叠盘码垛装置等流水线播种叠盘成套装备，实现工厂化育秧高效率播种叠盘。创建叠盘出苗温湿一体化控制出苗室，单日出苗秧盘服务机插面积450-500亩，与传统育秧相比效率提高7-15倍。近年指导建设各3类育秧中心5000余个，推动了水稻机插规模化与现代化发展。 </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default" w:ascii="Times New Roman" w:hAnsi="Times New Roman" w:eastAsia="仿宋_GB2312" w:cs="Times New Roman"/>
          <w:b w:val="0"/>
          <w:bCs w:val="0"/>
          <w:color w:val="000000"/>
          <w:sz w:val="28"/>
          <w:szCs w:val="28"/>
          <w:lang w:val="en-US" w:eastAsia="zh-CN"/>
        </w:rPr>
      </w:pPr>
      <w:r>
        <w:rPr>
          <w:rFonts w:hint="default" w:ascii="Times New Roman" w:hAnsi="Times New Roman" w:eastAsia="仿宋_GB2312" w:cs="Times New Roman"/>
          <w:b w:val="0"/>
          <w:bCs w:val="0"/>
          <w:color w:val="000000"/>
          <w:sz w:val="28"/>
          <w:szCs w:val="28"/>
          <w:lang w:val="en-US" w:eastAsia="zh-CN"/>
        </w:rPr>
        <w:t xml:space="preserve">3.创新山核桃蒲壳有氧发酵、牛粪脱水发酵、红黄壤改性和蛭石膨化等关键技术，研制全营养协调型水稻机插育秧基质，该基质较传统旱地土育秧出苗率提高5-10%，并有效控制秧苗病害，实现产业化生产和大面积应用。集成精准条播、叠盘出苗、控水促根及株高调控等方法，明确秧盘育秧蘖芽发生阈值与株高调控机制，研发带蘖壮秧培育技术体系，量化了壮秧标准，显著提升机插质量，机插返青时间由5-7天缩短至1-3天。 </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default" w:ascii="Times New Roman" w:hAnsi="Times New Roman" w:eastAsia="仿宋_GB2312" w:cs="Times New Roman"/>
          <w:b w:val="0"/>
          <w:bCs w:val="0"/>
          <w:color w:val="000000"/>
          <w:sz w:val="28"/>
          <w:szCs w:val="28"/>
          <w:lang w:val="en-US" w:eastAsia="zh-CN"/>
        </w:rPr>
      </w:pPr>
      <w:r>
        <w:rPr>
          <w:rFonts w:hint="default" w:ascii="Times New Roman" w:hAnsi="Times New Roman" w:eastAsia="仿宋_GB2312" w:cs="Times New Roman"/>
          <w:b w:val="0"/>
          <w:bCs w:val="0"/>
          <w:color w:val="000000"/>
          <w:sz w:val="28"/>
          <w:szCs w:val="28"/>
          <w:lang w:val="en-US" w:eastAsia="zh-CN"/>
        </w:rPr>
        <w:t xml:space="preserve">4.创建高产群体阶段性调控技术，创立“田中密、丛中稀”机插基本苗配置新方法，揭示杂交稻营养需求特点及其与产量形成的关系，研发阶段性定量施肥技术，优化群体结构，促进壮秆大穗形成。在总施氮量相同情况下，每穗粒数增加5-8%。融合育秧、技术、高效施肥等技术创新，集成机插丰产技术，制订技术规程。2022-2024年，成果技术在浙江省、四川省、湖南省、江苏省等南方水稻主产区累计推广应用4287.86万亩，与传统育秧机插技术相比，产量平均提高33.62公斤/亩，增产稻谷累计147.95万吨。 </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default" w:ascii="Times New Roman" w:hAnsi="Times New Roman" w:eastAsia="仿宋_GB2312" w:cs="Times New Roman"/>
          <w:b w:val="0"/>
          <w:bCs w:val="0"/>
          <w:color w:val="000000"/>
          <w:sz w:val="28"/>
          <w:szCs w:val="28"/>
          <w:lang w:val="en-US" w:eastAsia="zh-CN"/>
        </w:rPr>
      </w:pPr>
      <w:r>
        <w:rPr>
          <w:rFonts w:hint="default" w:ascii="Times New Roman" w:hAnsi="Times New Roman" w:eastAsia="仿宋_GB2312" w:cs="Times New Roman"/>
          <w:b w:val="0"/>
          <w:bCs w:val="0"/>
          <w:color w:val="000000"/>
          <w:sz w:val="28"/>
          <w:szCs w:val="28"/>
          <w:lang w:val="en-US" w:eastAsia="zh-CN"/>
        </w:rPr>
        <w:t xml:space="preserve">中国作物学会评价认为水稻机插叠盘出苗方法、1+N育供秧模式、精准条播技术及智能播种成套装备达到国际领先水平。本成果授权发明专利10件，实用新型专利4件，软件著作权3项；制定农业行业标准1项，地方标准1项，团体标准1项；出版专著1部，论文49篇。 </w:t>
      </w:r>
    </w:p>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华文中宋" w:cs="Times New Roman"/>
          <w:b/>
          <w:bCs/>
          <w:color w:val="000000"/>
          <w:sz w:val="36"/>
          <w:szCs w:val="36"/>
          <w:lang w:val="en-US" w:eastAsia="zh-CN"/>
        </w:rPr>
      </w:pPr>
    </w:p>
    <w:sectPr>
      <w:footerReference r:id="rId3" w:type="default"/>
      <w:pgSz w:w="11906" w:h="16838"/>
      <w:pgMar w:top="1440" w:right="1803" w:bottom="1440" w:left="1803"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体">
    <w:altName w:val="宋体"/>
    <w:panose1 w:val="00000000000000000000"/>
    <w:charset w:val="86"/>
    <w:family w:val="roma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4YmQxNmEwMmQ0ZDcyODMwMTNmMGY4NDk0ZTkxNjAifQ=="/>
  </w:docVars>
  <w:rsids>
    <w:rsidRoot w:val="00172A27"/>
    <w:rsid w:val="061C28BC"/>
    <w:rsid w:val="280B08E4"/>
    <w:rsid w:val="33417A27"/>
    <w:rsid w:val="38DE2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体" w:eastAsia="仿宋体"/>
      <w:sz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customStyle="1" w:styleId="7">
    <w:name w:val="列出段落2"/>
    <w:basedOn w:val="1"/>
    <w:qFormat/>
    <w:uiPriority w:val="34"/>
    <w:pPr>
      <w:ind w:firstLine="420"/>
    </w:pPr>
    <w:rPr>
      <w:rFonts w:ascii="Calibri" w:hAnsi="Calibri"/>
      <w:szCs w:val="24"/>
    </w:rPr>
  </w:style>
  <w:style w:type="paragraph" w:customStyle="1" w:styleId="8">
    <w:name w:val="Default"/>
    <w:unhideWhenUsed/>
    <w:uiPriority w:val="99"/>
    <w:pPr>
      <w:widowControl w:val="0"/>
      <w:autoSpaceDE w:val="0"/>
      <w:autoSpaceDN w:val="0"/>
      <w:adjustRightInd w:val="0"/>
      <w:spacing w:beforeLines="0" w:afterLines="0"/>
    </w:pPr>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2991</Words>
  <Characters>3355</Characters>
  <Lines>0</Lines>
  <Paragraphs>0</Paragraphs>
  <TotalTime>15</TotalTime>
  <ScaleCrop>false</ScaleCrop>
  <LinksUpToDate>false</LinksUpToDate>
  <CharactersWithSpaces>3429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2024-06-06T07:50:00Z</dcterms:created>
  <dc:creator>苏岩</dc:creator>
  <cp:lastModifiedBy>S</cp:lastModifiedBy>
  <dcterms:modified xsi:type="dcterms:W3CDTF">2025-09-18T15:26:12Z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047A416686434970B9C6E6B1DDEE7C37_11</vt:lpwstr>
  </property>
</Properties>
</file>